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942B8" w14:textId="59148870" w:rsidR="00330AC4" w:rsidRPr="00AE7E25" w:rsidRDefault="004C71C2" w:rsidP="0077205B">
      <w:pPr>
        <w:rPr>
          <w:rFonts w:ascii="Arial" w:hAnsi="Arial" w:cs="Arial"/>
          <w:b/>
          <w:sz w:val="22"/>
          <w:szCs w:val="22"/>
          <w:lang w:val="es-ES_tradnl"/>
        </w:rPr>
      </w:pPr>
      <w:r w:rsidRPr="00AE7E25">
        <w:rPr>
          <w:rFonts w:ascii="Arial" w:hAnsi="Arial" w:cs="Arial"/>
          <w:b/>
          <w:sz w:val="22"/>
          <w:szCs w:val="22"/>
          <w:lang w:val="es-ES_tradnl"/>
        </w:rPr>
        <w:t xml:space="preserve"> </w:t>
      </w:r>
    </w:p>
    <w:p w14:paraId="64FAA466" w14:textId="77777777" w:rsidR="007838F2" w:rsidRPr="00E9534B" w:rsidRDefault="007838F2" w:rsidP="00F01CAB">
      <w:pPr>
        <w:pStyle w:val="Sinespaciado"/>
        <w:rPr>
          <w:rFonts w:asciiTheme="majorHAnsi" w:hAnsiTheme="majorHAnsi" w:cstheme="majorHAnsi"/>
          <w:sz w:val="22"/>
          <w:szCs w:val="22"/>
        </w:rPr>
      </w:pPr>
    </w:p>
    <w:p w14:paraId="05C09387" w14:textId="77777777" w:rsidR="00E9534B" w:rsidRPr="00E9534B" w:rsidRDefault="00E9534B" w:rsidP="00E9534B">
      <w:pPr>
        <w:pStyle w:val="Normal1"/>
        <w:tabs>
          <w:tab w:val="left" w:pos="1966"/>
          <w:tab w:val="right" w:pos="8786"/>
        </w:tabs>
        <w:jc w:val="center"/>
        <w:rPr>
          <w:rFonts w:asciiTheme="majorHAnsi" w:hAnsiTheme="majorHAnsi" w:cstheme="majorHAnsi"/>
          <w:b/>
          <w:sz w:val="22"/>
          <w:szCs w:val="22"/>
        </w:rPr>
      </w:pPr>
      <w:r w:rsidRPr="00E9534B">
        <w:rPr>
          <w:rFonts w:asciiTheme="majorHAnsi" w:hAnsiTheme="majorHAnsi" w:cstheme="majorHAnsi"/>
          <w:b/>
          <w:sz w:val="22"/>
          <w:szCs w:val="22"/>
        </w:rPr>
        <w:t>MEMORANDO</w:t>
      </w:r>
    </w:p>
    <w:p w14:paraId="47E846D5" w14:textId="77777777" w:rsidR="00E9534B" w:rsidRPr="00E9534B" w:rsidRDefault="00E9534B" w:rsidP="00E9534B">
      <w:pPr>
        <w:pStyle w:val="Normal1"/>
        <w:tabs>
          <w:tab w:val="left" w:pos="1966"/>
          <w:tab w:val="right" w:pos="8786"/>
        </w:tabs>
        <w:jc w:val="center"/>
        <w:rPr>
          <w:rFonts w:asciiTheme="majorHAnsi" w:hAnsiTheme="majorHAnsi" w:cstheme="majorHAnsi"/>
          <w:b/>
          <w:sz w:val="22"/>
          <w:szCs w:val="22"/>
        </w:rPr>
      </w:pPr>
    </w:p>
    <w:p w14:paraId="34F23A56" w14:textId="77777777" w:rsidR="00E9534B" w:rsidRPr="00E9534B" w:rsidRDefault="00E9534B" w:rsidP="00E9534B">
      <w:pPr>
        <w:pStyle w:val="Normal1"/>
        <w:tabs>
          <w:tab w:val="left" w:pos="1966"/>
          <w:tab w:val="right" w:pos="8786"/>
        </w:tabs>
        <w:jc w:val="right"/>
        <w:rPr>
          <w:rFonts w:asciiTheme="majorHAnsi" w:hAnsiTheme="majorHAnsi" w:cstheme="majorHAnsi"/>
          <w:b/>
          <w:bCs/>
          <w:iCs/>
          <w:sz w:val="22"/>
          <w:szCs w:val="22"/>
        </w:rPr>
      </w:pPr>
      <w:r w:rsidRPr="00E9534B">
        <w:rPr>
          <w:rFonts w:asciiTheme="majorHAnsi" w:hAnsiTheme="majorHAnsi" w:cstheme="majorHAnsi"/>
          <w:b/>
          <w:bCs/>
          <w:iCs/>
          <w:sz w:val="22"/>
          <w:szCs w:val="22"/>
        </w:rPr>
        <w:t>AMC-DA-</w:t>
      </w:r>
      <w:r w:rsidRPr="00E9534B">
        <w:rPr>
          <w:rFonts w:asciiTheme="majorHAnsi" w:hAnsiTheme="majorHAnsi" w:cstheme="majorHAnsi"/>
          <w:b/>
          <w:bCs/>
          <w:iCs/>
          <w:color w:val="EE0000"/>
          <w:sz w:val="22"/>
          <w:szCs w:val="22"/>
        </w:rPr>
        <w:t>00X-202X</w:t>
      </w:r>
    </w:p>
    <w:p w14:paraId="4BB4D0BB" w14:textId="28C2E69C" w:rsidR="00E9534B" w:rsidRPr="00E9534B" w:rsidRDefault="00E9534B" w:rsidP="00E9534B">
      <w:pPr>
        <w:pStyle w:val="Normal1"/>
        <w:jc w:val="right"/>
        <w:rPr>
          <w:rFonts w:asciiTheme="majorHAnsi" w:hAnsiTheme="majorHAnsi" w:cstheme="majorHAnsi"/>
          <w:iCs/>
          <w:sz w:val="22"/>
          <w:szCs w:val="22"/>
        </w:rPr>
      </w:pPr>
      <w:r w:rsidRPr="00E9534B">
        <w:rPr>
          <w:rFonts w:asciiTheme="majorHAnsi" w:hAnsiTheme="majorHAnsi" w:cstheme="majorHAnsi"/>
          <w:iCs/>
          <w:sz w:val="22"/>
          <w:szCs w:val="22"/>
        </w:rPr>
        <w:t xml:space="preserve">Cajicá, </w:t>
      </w:r>
      <w:r>
        <w:rPr>
          <w:rFonts w:asciiTheme="majorHAnsi" w:hAnsiTheme="majorHAnsi" w:cstheme="majorHAnsi"/>
          <w:iCs/>
          <w:sz w:val="22"/>
          <w:szCs w:val="22"/>
        </w:rPr>
        <w:t>25</w:t>
      </w:r>
      <w:r w:rsidRPr="00E9534B">
        <w:rPr>
          <w:rFonts w:asciiTheme="majorHAnsi" w:hAnsiTheme="majorHAnsi" w:cstheme="majorHAnsi"/>
          <w:iCs/>
          <w:sz w:val="22"/>
          <w:szCs w:val="22"/>
        </w:rPr>
        <w:t xml:space="preserve"> de </w:t>
      </w:r>
      <w:r>
        <w:rPr>
          <w:rFonts w:asciiTheme="majorHAnsi" w:hAnsiTheme="majorHAnsi" w:cstheme="majorHAnsi"/>
          <w:iCs/>
          <w:sz w:val="22"/>
          <w:szCs w:val="22"/>
        </w:rPr>
        <w:t>juni</w:t>
      </w:r>
      <w:r w:rsidRPr="00E9534B">
        <w:rPr>
          <w:rFonts w:asciiTheme="majorHAnsi" w:hAnsiTheme="majorHAnsi" w:cstheme="majorHAnsi"/>
          <w:iCs/>
          <w:sz w:val="22"/>
          <w:szCs w:val="22"/>
        </w:rPr>
        <w:t>o de 2026</w:t>
      </w:r>
    </w:p>
    <w:p w14:paraId="72B86774" w14:textId="77777777" w:rsidR="00E9534B" w:rsidRPr="00E9534B" w:rsidRDefault="00E9534B" w:rsidP="00E9534B">
      <w:pPr>
        <w:pStyle w:val="Normal1"/>
        <w:tabs>
          <w:tab w:val="left" w:pos="1276"/>
        </w:tabs>
        <w:jc w:val="both"/>
        <w:rPr>
          <w:rFonts w:asciiTheme="majorHAnsi" w:hAnsiTheme="majorHAnsi" w:cstheme="majorHAnsi"/>
          <w:b/>
          <w:sz w:val="22"/>
          <w:szCs w:val="22"/>
        </w:rPr>
      </w:pPr>
    </w:p>
    <w:p w14:paraId="2765BEF5" w14:textId="77777777" w:rsidR="00E9534B" w:rsidRPr="00E9534B" w:rsidRDefault="00E9534B" w:rsidP="00E9534B">
      <w:pPr>
        <w:pStyle w:val="Normal1"/>
        <w:tabs>
          <w:tab w:val="left" w:pos="1276"/>
        </w:tabs>
        <w:jc w:val="both"/>
        <w:rPr>
          <w:rFonts w:asciiTheme="majorHAnsi" w:hAnsiTheme="majorHAnsi" w:cstheme="majorHAnsi"/>
          <w:b/>
          <w:sz w:val="22"/>
          <w:szCs w:val="22"/>
        </w:rPr>
      </w:pPr>
    </w:p>
    <w:p w14:paraId="055B938D" w14:textId="77777777" w:rsidR="00E9534B" w:rsidRPr="00E9534B" w:rsidRDefault="00E9534B" w:rsidP="00E9534B">
      <w:pPr>
        <w:pStyle w:val="Normal1"/>
        <w:tabs>
          <w:tab w:val="left" w:pos="1276"/>
        </w:tabs>
        <w:jc w:val="both"/>
        <w:rPr>
          <w:rFonts w:asciiTheme="majorHAnsi" w:hAnsiTheme="majorHAnsi" w:cstheme="majorHAnsi"/>
          <w:b/>
          <w:sz w:val="22"/>
          <w:szCs w:val="22"/>
        </w:rPr>
      </w:pPr>
    </w:p>
    <w:p w14:paraId="2CDD69DD" w14:textId="315D7D06" w:rsidR="00E9534B" w:rsidRPr="001E2F54" w:rsidRDefault="00E9534B" w:rsidP="00E9534B">
      <w:pPr>
        <w:pStyle w:val="Sinespaciado"/>
        <w:rPr>
          <w:rFonts w:asciiTheme="majorHAnsi" w:hAnsiTheme="majorHAnsi" w:cstheme="majorHAnsi"/>
          <w:b/>
          <w:bCs/>
          <w:sz w:val="22"/>
          <w:szCs w:val="22"/>
        </w:rPr>
      </w:pPr>
      <w:r w:rsidRPr="00E9534B">
        <w:rPr>
          <w:rFonts w:asciiTheme="majorHAnsi" w:hAnsiTheme="majorHAnsi" w:cstheme="majorHAnsi"/>
          <w:b/>
          <w:sz w:val="22"/>
          <w:szCs w:val="22"/>
        </w:rPr>
        <w:t xml:space="preserve">PARA:         </w:t>
      </w:r>
      <w:r>
        <w:rPr>
          <w:rFonts w:asciiTheme="majorHAnsi" w:hAnsiTheme="majorHAnsi" w:cstheme="majorHAnsi"/>
          <w:b/>
          <w:sz w:val="22"/>
          <w:szCs w:val="22"/>
        </w:rPr>
        <w:tab/>
      </w:r>
      <w:r w:rsidRPr="001E2F54">
        <w:rPr>
          <w:rFonts w:asciiTheme="majorHAnsi" w:hAnsiTheme="majorHAnsi" w:cstheme="majorHAnsi"/>
          <w:b/>
          <w:bCs/>
          <w:sz w:val="22"/>
          <w:szCs w:val="22"/>
        </w:rPr>
        <w:t>OMAR HERNÁN OSORIO VALBUENA</w:t>
      </w:r>
    </w:p>
    <w:p w14:paraId="45331F99" w14:textId="77777777" w:rsidR="00E9534B" w:rsidRPr="001E2F54" w:rsidRDefault="00E9534B" w:rsidP="00E9534B">
      <w:pPr>
        <w:pStyle w:val="Sinespaciado"/>
        <w:ind w:left="720" w:firstLine="720"/>
        <w:rPr>
          <w:rFonts w:asciiTheme="majorHAnsi" w:hAnsiTheme="majorHAnsi" w:cstheme="majorHAnsi"/>
          <w:sz w:val="22"/>
          <w:szCs w:val="22"/>
        </w:rPr>
      </w:pPr>
      <w:r w:rsidRPr="001E2F54">
        <w:rPr>
          <w:rFonts w:asciiTheme="majorHAnsi" w:hAnsiTheme="majorHAnsi" w:cstheme="majorHAnsi"/>
          <w:sz w:val="22"/>
          <w:szCs w:val="22"/>
        </w:rPr>
        <w:t>Inspector Tercero de Policía</w:t>
      </w:r>
    </w:p>
    <w:p w14:paraId="61BA24E5" w14:textId="55500207" w:rsidR="00E9534B" w:rsidRPr="00E9534B" w:rsidRDefault="00E9534B" w:rsidP="00E9534B">
      <w:pPr>
        <w:pStyle w:val="Normal1"/>
        <w:tabs>
          <w:tab w:val="left" w:pos="1276"/>
        </w:tabs>
        <w:jc w:val="both"/>
        <w:rPr>
          <w:rFonts w:asciiTheme="majorHAnsi" w:hAnsiTheme="majorHAnsi" w:cstheme="majorHAnsi"/>
          <w:b/>
          <w:sz w:val="22"/>
          <w:szCs w:val="22"/>
        </w:rPr>
      </w:pPr>
      <w:r w:rsidRPr="00E9534B">
        <w:rPr>
          <w:rFonts w:asciiTheme="majorHAnsi" w:hAnsiTheme="majorHAnsi" w:cstheme="majorHAnsi"/>
          <w:b/>
          <w:sz w:val="22"/>
          <w:szCs w:val="22"/>
        </w:rPr>
        <w:tab/>
      </w:r>
    </w:p>
    <w:p w14:paraId="3D2658CE" w14:textId="6A921024" w:rsidR="00E9534B" w:rsidRPr="00E9534B" w:rsidRDefault="00E9534B" w:rsidP="00E9534B">
      <w:pPr>
        <w:pStyle w:val="Normal1"/>
        <w:jc w:val="both"/>
        <w:rPr>
          <w:rFonts w:asciiTheme="majorHAnsi" w:hAnsiTheme="majorHAnsi" w:cstheme="majorHAnsi"/>
          <w:b/>
          <w:bCs/>
          <w:sz w:val="22"/>
          <w:szCs w:val="22"/>
        </w:rPr>
      </w:pPr>
      <w:r w:rsidRPr="00E9534B">
        <w:rPr>
          <w:rFonts w:asciiTheme="majorHAnsi" w:hAnsiTheme="majorHAnsi" w:cstheme="majorHAnsi"/>
          <w:b/>
          <w:sz w:val="22"/>
          <w:szCs w:val="22"/>
        </w:rPr>
        <w:t>DE:</w:t>
      </w:r>
      <w:r w:rsidRPr="00E9534B">
        <w:rPr>
          <w:rFonts w:asciiTheme="majorHAnsi" w:hAnsiTheme="majorHAnsi" w:cstheme="majorHAnsi"/>
          <w:b/>
          <w:sz w:val="22"/>
          <w:szCs w:val="22"/>
        </w:rPr>
        <w:tab/>
      </w:r>
      <w:r w:rsidRPr="00E9534B">
        <w:rPr>
          <w:rFonts w:asciiTheme="majorHAnsi" w:hAnsiTheme="majorHAnsi" w:cstheme="majorHAnsi"/>
          <w:sz w:val="22"/>
          <w:szCs w:val="22"/>
        </w:rPr>
        <w:t xml:space="preserve">         </w:t>
      </w:r>
      <w:r>
        <w:rPr>
          <w:rFonts w:asciiTheme="majorHAnsi" w:hAnsiTheme="majorHAnsi" w:cstheme="majorHAnsi"/>
          <w:sz w:val="22"/>
          <w:szCs w:val="22"/>
        </w:rPr>
        <w:tab/>
      </w:r>
      <w:r w:rsidRPr="00E9534B">
        <w:rPr>
          <w:rFonts w:asciiTheme="majorHAnsi" w:hAnsiTheme="majorHAnsi" w:cstheme="majorHAnsi"/>
          <w:b/>
          <w:bCs/>
          <w:sz w:val="22"/>
          <w:szCs w:val="22"/>
        </w:rPr>
        <w:t xml:space="preserve">FABIOLA JÁCOME RINCÓN </w:t>
      </w:r>
    </w:p>
    <w:p w14:paraId="0329BB18" w14:textId="0082216E" w:rsidR="00E9534B" w:rsidRPr="00E9534B" w:rsidRDefault="00E9534B" w:rsidP="00E9534B">
      <w:pPr>
        <w:pStyle w:val="Normal1"/>
        <w:jc w:val="both"/>
        <w:rPr>
          <w:rFonts w:asciiTheme="majorHAnsi" w:hAnsiTheme="majorHAnsi" w:cstheme="majorHAnsi"/>
          <w:sz w:val="22"/>
          <w:szCs w:val="22"/>
        </w:rPr>
      </w:pPr>
      <w:r w:rsidRPr="00E9534B">
        <w:rPr>
          <w:rFonts w:asciiTheme="majorHAnsi" w:hAnsiTheme="majorHAnsi" w:cstheme="majorHAnsi"/>
          <w:b/>
          <w:bCs/>
          <w:sz w:val="22"/>
          <w:szCs w:val="22"/>
        </w:rPr>
        <w:t xml:space="preserve">                     </w:t>
      </w:r>
      <w:r>
        <w:rPr>
          <w:rFonts w:asciiTheme="majorHAnsi" w:hAnsiTheme="majorHAnsi" w:cstheme="majorHAnsi"/>
          <w:b/>
          <w:bCs/>
          <w:sz w:val="22"/>
          <w:szCs w:val="22"/>
        </w:rPr>
        <w:tab/>
      </w:r>
      <w:r w:rsidRPr="00E9534B">
        <w:rPr>
          <w:rFonts w:asciiTheme="majorHAnsi" w:hAnsiTheme="majorHAnsi" w:cstheme="majorHAnsi"/>
          <w:sz w:val="22"/>
          <w:szCs w:val="22"/>
        </w:rPr>
        <w:t xml:space="preserve">Alcaldesa </w:t>
      </w:r>
    </w:p>
    <w:p w14:paraId="7C62633C" w14:textId="77777777" w:rsidR="00F01CAB" w:rsidRPr="001E2F54" w:rsidRDefault="00F01CAB" w:rsidP="00F01CAB">
      <w:pPr>
        <w:pStyle w:val="Sinespaciado"/>
        <w:rPr>
          <w:rFonts w:asciiTheme="majorHAnsi" w:hAnsiTheme="majorHAnsi" w:cstheme="majorHAnsi"/>
          <w:sz w:val="22"/>
          <w:szCs w:val="22"/>
        </w:rPr>
      </w:pPr>
    </w:p>
    <w:p w14:paraId="4FE79D96" w14:textId="77777777" w:rsidR="003211BE" w:rsidRPr="001E2F54" w:rsidRDefault="003211BE" w:rsidP="00F01CAB">
      <w:pPr>
        <w:pStyle w:val="Sinespaciado"/>
        <w:rPr>
          <w:rFonts w:asciiTheme="majorHAnsi" w:hAnsiTheme="majorHAnsi" w:cstheme="majorHAnsi"/>
          <w:sz w:val="22"/>
          <w:szCs w:val="22"/>
        </w:rPr>
      </w:pPr>
    </w:p>
    <w:p w14:paraId="3E5A673D" w14:textId="1B491F1A" w:rsidR="001E2F54" w:rsidRPr="001E2F54" w:rsidRDefault="0092288E" w:rsidP="001E2F54">
      <w:pPr>
        <w:pStyle w:val="Sinespaciado"/>
        <w:jc w:val="both"/>
        <w:rPr>
          <w:rFonts w:asciiTheme="majorHAnsi" w:hAnsiTheme="majorHAnsi" w:cstheme="majorHAnsi"/>
          <w:sz w:val="22"/>
          <w:szCs w:val="22"/>
        </w:rPr>
      </w:pPr>
      <w:r w:rsidRPr="001E2F54">
        <w:rPr>
          <w:rFonts w:asciiTheme="majorHAnsi" w:hAnsiTheme="majorHAnsi" w:cstheme="majorHAnsi"/>
          <w:b/>
          <w:bCs/>
          <w:sz w:val="22"/>
          <w:szCs w:val="22"/>
        </w:rPr>
        <w:t>Asunto</w:t>
      </w:r>
      <w:r w:rsidRPr="001E2F54">
        <w:rPr>
          <w:rFonts w:asciiTheme="majorHAnsi" w:hAnsiTheme="majorHAnsi" w:cstheme="majorHAnsi"/>
          <w:sz w:val="22"/>
          <w:szCs w:val="22"/>
        </w:rPr>
        <w:t>:</w:t>
      </w:r>
      <w:r w:rsidR="00364CC8" w:rsidRPr="001E2F54">
        <w:rPr>
          <w:rFonts w:asciiTheme="majorHAnsi" w:hAnsiTheme="majorHAnsi" w:cstheme="majorHAnsi"/>
          <w:sz w:val="22"/>
          <w:szCs w:val="22"/>
        </w:rPr>
        <w:t xml:space="preserve"> </w:t>
      </w:r>
      <w:r w:rsidR="001E2F54" w:rsidRPr="001E2F54">
        <w:rPr>
          <w:rFonts w:asciiTheme="majorHAnsi" w:hAnsiTheme="majorHAnsi" w:cstheme="majorHAnsi"/>
          <w:sz w:val="22"/>
          <w:szCs w:val="22"/>
        </w:rPr>
        <w:t>Respuesta Consulta sobre eventual impedimento.</w:t>
      </w:r>
    </w:p>
    <w:p w14:paraId="2D375F69" w14:textId="77777777" w:rsidR="001E2F54" w:rsidRPr="001E2F54" w:rsidRDefault="001E2F54" w:rsidP="001E2F54">
      <w:pPr>
        <w:pStyle w:val="Sinespaciado"/>
        <w:jc w:val="both"/>
        <w:rPr>
          <w:rFonts w:asciiTheme="majorHAnsi" w:hAnsiTheme="majorHAnsi" w:cstheme="majorHAnsi"/>
          <w:sz w:val="22"/>
          <w:szCs w:val="22"/>
        </w:rPr>
      </w:pPr>
    </w:p>
    <w:p w14:paraId="4054073A" w14:textId="77777777" w:rsidR="001E2F54" w:rsidRPr="001E2F54" w:rsidRDefault="001E2F54" w:rsidP="001E2F54">
      <w:pPr>
        <w:pStyle w:val="Sinespaciado"/>
        <w:jc w:val="both"/>
        <w:rPr>
          <w:rFonts w:asciiTheme="majorHAnsi" w:hAnsiTheme="majorHAnsi" w:cstheme="majorHAnsi"/>
          <w:sz w:val="22"/>
          <w:szCs w:val="22"/>
        </w:rPr>
      </w:pPr>
      <w:r w:rsidRPr="001E2F54">
        <w:rPr>
          <w:rFonts w:asciiTheme="majorHAnsi" w:hAnsiTheme="majorHAnsi" w:cstheme="majorHAnsi"/>
          <w:sz w:val="22"/>
          <w:szCs w:val="22"/>
        </w:rPr>
        <w:t>Respetado doctor:</w:t>
      </w:r>
    </w:p>
    <w:p w14:paraId="72A60BDE" w14:textId="77777777" w:rsidR="001E2F54" w:rsidRPr="001E2F54" w:rsidRDefault="001E2F54" w:rsidP="001E2F54">
      <w:pPr>
        <w:pStyle w:val="Sinespaciado"/>
        <w:jc w:val="both"/>
        <w:rPr>
          <w:rFonts w:asciiTheme="majorHAnsi" w:hAnsiTheme="majorHAnsi" w:cstheme="majorHAnsi"/>
          <w:sz w:val="22"/>
          <w:szCs w:val="22"/>
        </w:rPr>
      </w:pPr>
    </w:p>
    <w:p w14:paraId="67222EA5" w14:textId="77777777" w:rsidR="001E2F54" w:rsidRPr="001E2F54" w:rsidRDefault="001E2F54" w:rsidP="001E2F54">
      <w:pPr>
        <w:pStyle w:val="Sinespaciado"/>
        <w:jc w:val="both"/>
        <w:rPr>
          <w:rFonts w:asciiTheme="majorHAnsi" w:hAnsiTheme="majorHAnsi" w:cstheme="majorHAnsi"/>
          <w:sz w:val="22"/>
          <w:szCs w:val="22"/>
        </w:rPr>
      </w:pPr>
      <w:r w:rsidRPr="001E2F54">
        <w:rPr>
          <w:rFonts w:asciiTheme="majorHAnsi" w:hAnsiTheme="majorHAnsi" w:cstheme="majorHAnsi"/>
          <w:sz w:val="22"/>
          <w:szCs w:val="22"/>
        </w:rPr>
        <w:t>En atención al Memorando relacionado en el asunto, mediante el cual pone en conocimiento de este Despacho una solicitud formulada durante la audiencia celebrada el día 12 de junio de 2026 dentro del proceso verbal abreviado CCPMT-013-2025, y solicita pronunciamiento respecto de una eventual causal de impedimento para conocer una futura segunda instancia, me permito manifestar lo siguiente:</w:t>
      </w:r>
    </w:p>
    <w:p w14:paraId="25645878" w14:textId="77777777" w:rsidR="001E2F54" w:rsidRPr="001E2F54" w:rsidRDefault="001E2F54" w:rsidP="001E2F54">
      <w:pPr>
        <w:pStyle w:val="Sinespaciado"/>
        <w:jc w:val="both"/>
        <w:rPr>
          <w:rFonts w:asciiTheme="majorHAnsi" w:hAnsiTheme="majorHAnsi" w:cstheme="majorHAnsi"/>
          <w:sz w:val="22"/>
          <w:szCs w:val="22"/>
        </w:rPr>
      </w:pPr>
    </w:p>
    <w:p w14:paraId="15A2B5FC" w14:textId="77777777" w:rsidR="001E2F54" w:rsidRPr="001E2F54" w:rsidRDefault="001E2F54" w:rsidP="001E2F54">
      <w:pPr>
        <w:pStyle w:val="Sinespaciado"/>
        <w:jc w:val="both"/>
        <w:rPr>
          <w:rFonts w:asciiTheme="majorHAnsi" w:hAnsiTheme="majorHAnsi" w:cstheme="majorHAnsi"/>
          <w:sz w:val="22"/>
          <w:szCs w:val="22"/>
        </w:rPr>
      </w:pPr>
      <w:r w:rsidRPr="001E2F54">
        <w:rPr>
          <w:rFonts w:asciiTheme="majorHAnsi" w:hAnsiTheme="majorHAnsi" w:cstheme="majorHAnsi"/>
          <w:sz w:val="22"/>
          <w:szCs w:val="22"/>
        </w:rPr>
        <w:t>Revisado el contenido de su comunicación, se observa que la inquietud planteada surge a partir de la solicitud formulada por una de las partes procesales, quien considera que la doctora Natalia Norato, apoderada judicial dentro del proceso, habría ejercido previamente funciones como Comisaria de Familia bajo la modalidad de supernumeraria y que dicha circunstancia generaría un presunto impedimento para intervenir dentro de la actuación administrativa.</w:t>
      </w:r>
    </w:p>
    <w:p w14:paraId="1E2C357A" w14:textId="77777777" w:rsidR="001E2F54" w:rsidRPr="001E2F54" w:rsidRDefault="001E2F54" w:rsidP="001E2F54">
      <w:pPr>
        <w:pStyle w:val="Sinespaciado"/>
        <w:jc w:val="both"/>
        <w:rPr>
          <w:rFonts w:asciiTheme="majorHAnsi" w:hAnsiTheme="majorHAnsi" w:cstheme="majorHAnsi"/>
          <w:sz w:val="22"/>
          <w:szCs w:val="22"/>
        </w:rPr>
      </w:pPr>
    </w:p>
    <w:p w14:paraId="210C5440" w14:textId="458B53BC" w:rsidR="001E2F54" w:rsidRPr="001E2F54" w:rsidRDefault="001E2F54" w:rsidP="001E2F54">
      <w:pPr>
        <w:pStyle w:val="Sinespaciado"/>
        <w:jc w:val="both"/>
        <w:rPr>
          <w:rFonts w:asciiTheme="majorHAnsi" w:hAnsiTheme="majorHAnsi" w:cstheme="majorHAnsi"/>
          <w:sz w:val="22"/>
          <w:szCs w:val="22"/>
        </w:rPr>
      </w:pPr>
      <w:r w:rsidRPr="001E2F54">
        <w:rPr>
          <w:rFonts w:asciiTheme="majorHAnsi" w:hAnsiTheme="majorHAnsi" w:cstheme="majorHAnsi"/>
          <w:sz w:val="22"/>
          <w:szCs w:val="22"/>
        </w:rPr>
        <w:t xml:space="preserve">No obstante, de la misma comunicación se desprende que ese Despacho realizó la valoración correspondiente y concluyó que </w:t>
      </w:r>
      <w:r w:rsidRPr="001E2F54">
        <w:rPr>
          <w:rFonts w:asciiTheme="majorHAnsi" w:hAnsiTheme="majorHAnsi" w:cstheme="majorHAnsi"/>
          <w:b/>
          <w:bCs/>
          <w:sz w:val="22"/>
          <w:szCs w:val="22"/>
        </w:rPr>
        <w:t>no encontró configurada causal alguna de impedimento</w:t>
      </w:r>
      <w:r w:rsidRPr="001E2F54">
        <w:rPr>
          <w:rFonts w:asciiTheme="majorHAnsi" w:hAnsiTheme="majorHAnsi" w:cstheme="majorHAnsi"/>
          <w:sz w:val="22"/>
          <w:szCs w:val="22"/>
        </w:rPr>
        <w:t>, razón por la cual decidió elevar la consulta a esta Alcaldía para un eventual pronunciamiento.</w:t>
      </w:r>
    </w:p>
    <w:p w14:paraId="7108E74D" w14:textId="77777777" w:rsidR="001E2F54" w:rsidRPr="001E2F54" w:rsidRDefault="001E2F54" w:rsidP="001E2F54">
      <w:pPr>
        <w:pStyle w:val="Sinespaciado"/>
        <w:jc w:val="both"/>
        <w:rPr>
          <w:rFonts w:asciiTheme="majorHAnsi" w:hAnsiTheme="majorHAnsi" w:cstheme="majorHAnsi"/>
          <w:sz w:val="22"/>
          <w:szCs w:val="22"/>
        </w:rPr>
      </w:pPr>
    </w:p>
    <w:p w14:paraId="7D9E5CD2" w14:textId="77777777" w:rsidR="001E2F54" w:rsidRPr="001E2F54" w:rsidRDefault="001E2F54" w:rsidP="001E2F54">
      <w:pPr>
        <w:pStyle w:val="Sinespaciado"/>
        <w:jc w:val="both"/>
        <w:rPr>
          <w:rFonts w:asciiTheme="majorHAnsi" w:hAnsiTheme="majorHAnsi" w:cstheme="majorHAnsi"/>
          <w:sz w:val="22"/>
          <w:szCs w:val="22"/>
        </w:rPr>
      </w:pPr>
      <w:r w:rsidRPr="001E2F54">
        <w:rPr>
          <w:rFonts w:asciiTheme="majorHAnsi" w:hAnsiTheme="majorHAnsi" w:cstheme="majorHAnsi"/>
          <w:sz w:val="22"/>
          <w:szCs w:val="22"/>
        </w:rPr>
        <w:t>Sobre el particular, es preciso indicar que el régimen de impedimentos y recusaciones previsto en los artículos 11 y 12 de la Ley 1437 de 2011 constituye un procedimiento de carácter reglado y excepcional, cuya finalidad consiste en resolver situaciones concretas en las cuales el servidor público que conoce de una actuación administrativa considera encontrarse incurso en alguna de las causales taxativamente previstas por el legislador, o cuando una de las partes formula recusación en los términos legalmente establecidos.</w:t>
      </w:r>
    </w:p>
    <w:p w14:paraId="3F5BDB0D" w14:textId="77777777" w:rsidR="001E2F54" w:rsidRPr="001E2F54" w:rsidRDefault="001E2F54" w:rsidP="001E2F54">
      <w:pPr>
        <w:pStyle w:val="Sinespaciado"/>
        <w:jc w:val="both"/>
        <w:rPr>
          <w:rFonts w:asciiTheme="majorHAnsi" w:hAnsiTheme="majorHAnsi" w:cstheme="majorHAnsi"/>
          <w:sz w:val="22"/>
          <w:szCs w:val="22"/>
        </w:rPr>
      </w:pPr>
    </w:p>
    <w:p w14:paraId="41EF57D1" w14:textId="77777777" w:rsidR="001E2F54" w:rsidRPr="001E2F54" w:rsidRDefault="001E2F54" w:rsidP="001E2F54">
      <w:pPr>
        <w:pStyle w:val="Sinespaciado"/>
        <w:jc w:val="both"/>
        <w:rPr>
          <w:rFonts w:asciiTheme="majorHAnsi" w:hAnsiTheme="majorHAnsi" w:cstheme="majorHAnsi"/>
          <w:sz w:val="22"/>
          <w:szCs w:val="22"/>
        </w:rPr>
      </w:pPr>
      <w:r w:rsidRPr="001E2F54">
        <w:rPr>
          <w:rFonts w:asciiTheme="majorHAnsi" w:hAnsiTheme="majorHAnsi" w:cstheme="majorHAnsi"/>
          <w:sz w:val="22"/>
          <w:szCs w:val="22"/>
        </w:rPr>
        <w:t>En el presente asunto no se advierte la existencia de una manifestación formal de impedimento por parte del funcionario competente ni de una recusación cuyo conocimiento corresponda a esta autoridad administrativa.</w:t>
      </w:r>
    </w:p>
    <w:p w14:paraId="1608BB74" w14:textId="77777777" w:rsidR="001E2F54" w:rsidRPr="001E2F54" w:rsidRDefault="001E2F54" w:rsidP="001E2F54">
      <w:pPr>
        <w:pStyle w:val="Sinespaciado"/>
        <w:jc w:val="both"/>
        <w:rPr>
          <w:rFonts w:asciiTheme="majorHAnsi" w:hAnsiTheme="majorHAnsi" w:cstheme="majorHAnsi"/>
          <w:sz w:val="22"/>
          <w:szCs w:val="22"/>
        </w:rPr>
      </w:pPr>
    </w:p>
    <w:p w14:paraId="680C1267" w14:textId="77777777" w:rsidR="001E2F54" w:rsidRPr="001E2F54" w:rsidRDefault="001E2F54" w:rsidP="001E2F54">
      <w:pPr>
        <w:pStyle w:val="Sinespaciado"/>
        <w:jc w:val="both"/>
        <w:rPr>
          <w:rFonts w:asciiTheme="majorHAnsi" w:hAnsiTheme="majorHAnsi" w:cstheme="majorHAnsi"/>
          <w:sz w:val="22"/>
          <w:szCs w:val="22"/>
        </w:rPr>
      </w:pPr>
      <w:r w:rsidRPr="001E2F54">
        <w:rPr>
          <w:rFonts w:asciiTheme="majorHAnsi" w:hAnsiTheme="majorHAnsi" w:cstheme="majorHAnsi"/>
          <w:sz w:val="22"/>
          <w:szCs w:val="22"/>
        </w:rPr>
        <w:t>De igual manera, la situación planteada hace referencia a una eventual actuación en segunda instancia que aún no se ha configurado, por cuanto el proceso continúa en etapa de valoración probatoria y no existe decisión administrativa susceptible de recurso.</w:t>
      </w:r>
    </w:p>
    <w:p w14:paraId="322ADB47" w14:textId="77777777" w:rsidR="001E2F54" w:rsidRPr="001E2F54" w:rsidRDefault="001E2F54" w:rsidP="001E2F54">
      <w:pPr>
        <w:pStyle w:val="Sinespaciado"/>
        <w:jc w:val="both"/>
        <w:rPr>
          <w:rFonts w:asciiTheme="majorHAnsi" w:hAnsiTheme="majorHAnsi" w:cstheme="majorHAnsi"/>
          <w:sz w:val="22"/>
          <w:szCs w:val="22"/>
        </w:rPr>
      </w:pPr>
    </w:p>
    <w:p w14:paraId="312AEED0" w14:textId="77777777" w:rsidR="001E2F54" w:rsidRPr="001E2F54" w:rsidRDefault="001E2F54" w:rsidP="001E2F54">
      <w:pPr>
        <w:pStyle w:val="Sinespaciado"/>
        <w:jc w:val="both"/>
        <w:rPr>
          <w:rFonts w:asciiTheme="majorHAnsi" w:hAnsiTheme="majorHAnsi" w:cstheme="majorHAnsi"/>
          <w:sz w:val="22"/>
          <w:szCs w:val="22"/>
        </w:rPr>
      </w:pPr>
      <w:r w:rsidRPr="001E2F54">
        <w:rPr>
          <w:rFonts w:asciiTheme="majorHAnsi" w:hAnsiTheme="majorHAnsi" w:cstheme="majorHAnsi"/>
          <w:sz w:val="22"/>
          <w:szCs w:val="22"/>
        </w:rPr>
        <w:t>En consecuencia, cualquier pronunciamiento acerca de una eventual causal de impedimento respecto de una autoridad que eventualmente pudiera conocer un recurso de apelación implicaría emitir un concepto preventivo sobre una situación futura e incierta, circunstancia que excede las competencias asignadas a este Despacho por los artículos 11 y 12 de la Ley 1437 de 2011.</w:t>
      </w:r>
    </w:p>
    <w:p w14:paraId="571867FE" w14:textId="77777777" w:rsidR="001E2F54" w:rsidRPr="001E2F54" w:rsidRDefault="001E2F54" w:rsidP="001E2F54">
      <w:pPr>
        <w:pStyle w:val="Sinespaciado"/>
        <w:jc w:val="both"/>
        <w:rPr>
          <w:rFonts w:asciiTheme="majorHAnsi" w:hAnsiTheme="majorHAnsi" w:cstheme="majorHAnsi"/>
          <w:sz w:val="22"/>
          <w:szCs w:val="22"/>
        </w:rPr>
      </w:pPr>
    </w:p>
    <w:p w14:paraId="5E5A7195" w14:textId="77777777" w:rsidR="001E2F54" w:rsidRPr="001E2F54" w:rsidRDefault="001E2F54" w:rsidP="001E2F54">
      <w:pPr>
        <w:pStyle w:val="Sinespaciado"/>
        <w:jc w:val="both"/>
        <w:rPr>
          <w:rFonts w:asciiTheme="majorHAnsi" w:hAnsiTheme="majorHAnsi" w:cstheme="majorHAnsi"/>
          <w:sz w:val="22"/>
          <w:szCs w:val="22"/>
        </w:rPr>
      </w:pPr>
      <w:r w:rsidRPr="001E2F54">
        <w:rPr>
          <w:rFonts w:asciiTheme="majorHAnsi" w:hAnsiTheme="majorHAnsi" w:cstheme="majorHAnsi"/>
          <w:sz w:val="22"/>
          <w:szCs w:val="22"/>
        </w:rPr>
        <w:t>Las decisiones sobre impedimentos deben adoptarse únicamente cuando exista una actuación administrativa concreta sometida al conocimiento de la autoridad competente y cuando concurran objetivamente las causales legales previstas por el legislador, sin que resulte jurídicamente procedente efectuar pronunciamientos anticipados sobre hipótesis que eventualmente podrían presentarse durante el desarrollo del procedimiento.</w:t>
      </w:r>
    </w:p>
    <w:p w14:paraId="4EC45A10" w14:textId="77777777" w:rsidR="001E2F54" w:rsidRPr="001E2F54" w:rsidRDefault="001E2F54" w:rsidP="001E2F54">
      <w:pPr>
        <w:pStyle w:val="Sinespaciado"/>
        <w:jc w:val="both"/>
        <w:rPr>
          <w:rFonts w:asciiTheme="majorHAnsi" w:hAnsiTheme="majorHAnsi" w:cstheme="majorHAnsi"/>
          <w:sz w:val="22"/>
          <w:szCs w:val="22"/>
        </w:rPr>
      </w:pPr>
    </w:p>
    <w:p w14:paraId="5DBFF818" w14:textId="77777777" w:rsidR="001E2F54" w:rsidRPr="001E2F54" w:rsidRDefault="001E2F54" w:rsidP="001E2F54">
      <w:pPr>
        <w:pStyle w:val="Sinespaciado"/>
        <w:jc w:val="both"/>
        <w:rPr>
          <w:rFonts w:asciiTheme="majorHAnsi" w:hAnsiTheme="majorHAnsi" w:cstheme="majorHAnsi"/>
          <w:sz w:val="22"/>
          <w:szCs w:val="22"/>
        </w:rPr>
      </w:pPr>
      <w:r w:rsidRPr="001E2F54">
        <w:rPr>
          <w:rFonts w:asciiTheme="majorHAnsi" w:hAnsiTheme="majorHAnsi" w:cstheme="majorHAnsi"/>
          <w:sz w:val="22"/>
          <w:szCs w:val="22"/>
        </w:rPr>
        <w:t>En ese orden de ideas, no existe asunto susceptible de decisión por parte de esta Alcaldía en el estado actual del proceso administrativo.</w:t>
      </w:r>
    </w:p>
    <w:p w14:paraId="289D9A38" w14:textId="77777777" w:rsidR="001E2F54" w:rsidRPr="001E2F54" w:rsidRDefault="001E2F54" w:rsidP="001E2F54">
      <w:pPr>
        <w:pStyle w:val="Sinespaciado"/>
        <w:jc w:val="both"/>
        <w:rPr>
          <w:rFonts w:asciiTheme="majorHAnsi" w:hAnsiTheme="majorHAnsi" w:cstheme="majorHAnsi"/>
          <w:sz w:val="22"/>
          <w:szCs w:val="22"/>
        </w:rPr>
      </w:pPr>
    </w:p>
    <w:p w14:paraId="41322698" w14:textId="77777777" w:rsidR="001E2F54" w:rsidRPr="001E2F54" w:rsidRDefault="001E2F54" w:rsidP="001E2F54">
      <w:pPr>
        <w:pStyle w:val="Sinespaciado"/>
        <w:jc w:val="both"/>
        <w:rPr>
          <w:rFonts w:asciiTheme="majorHAnsi" w:hAnsiTheme="majorHAnsi" w:cstheme="majorHAnsi"/>
          <w:sz w:val="22"/>
          <w:szCs w:val="22"/>
        </w:rPr>
      </w:pPr>
      <w:r w:rsidRPr="001E2F54">
        <w:rPr>
          <w:rFonts w:asciiTheme="majorHAnsi" w:hAnsiTheme="majorHAnsi" w:cstheme="majorHAnsi"/>
          <w:sz w:val="22"/>
          <w:szCs w:val="22"/>
        </w:rPr>
        <w:t>En caso de que, con ocasión de una actuación futura, el funcionario competente considere configurada alguna de las causales previstas en el artículo 11 de la Ley 1437 de 2011, o se formule recusación conforme al procedimiento legal, deberá darse aplicación al trámite establecido en los artículos 11 y 12 del Código de Procedimiento Administrativo y de lo Contencioso Administrativo.</w:t>
      </w:r>
    </w:p>
    <w:p w14:paraId="3BFF5D4D" w14:textId="77777777" w:rsidR="001E2F54" w:rsidRPr="001E2F54" w:rsidRDefault="001E2F54" w:rsidP="001E2F54">
      <w:pPr>
        <w:pStyle w:val="Sinespaciado"/>
        <w:jc w:val="both"/>
        <w:rPr>
          <w:rFonts w:asciiTheme="majorHAnsi" w:hAnsiTheme="majorHAnsi" w:cstheme="majorHAnsi"/>
          <w:sz w:val="22"/>
          <w:szCs w:val="22"/>
        </w:rPr>
      </w:pPr>
    </w:p>
    <w:p w14:paraId="4EAB22C5" w14:textId="77777777" w:rsidR="001E2F54" w:rsidRPr="001E2F54" w:rsidRDefault="001E2F54" w:rsidP="001E2F54">
      <w:pPr>
        <w:pStyle w:val="Sinespaciado"/>
        <w:jc w:val="both"/>
        <w:rPr>
          <w:rFonts w:asciiTheme="majorHAnsi" w:hAnsiTheme="majorHAnsi" w:cstheme="majorHAnsi"/>
          <w:sz w:val="22"/>
          <w:szCs w:val="22"/>
        </w:rPr>
      </w:pPr>
      <w:r w:rsidRPr="001E2F54">
        <w:rPr>
          <w:rFonts w:asciiTheme="majorHAnsi" w:hAnsiTheme="majorHAnsi" w:cstheme="majorHAnsi"/>
          <w:sz w:val="22"/>
          <w:szCs w:val="22"/>
        </w:rPr>
        <w:t>Cordialmente,</w:t>
      </w:r>
    </w:p>
    <w:p w14:paraId="722A4DED" w14:textId="77777777" w:rsidR="00F01CAB" w:rsidRPr="00AE7E25" w:rsidRDefault="00F01CAB" w:rsidP="00F01CAB">
      <w:pPr>
        <w:rPr>
          <w:rFonts w:ascii="Arial" w:hAnsi="Arial" w:cs="Arial"/>
          <w:sz w:val="22"/>
          <w:szCs w:val="22"/>
          <w:lang w:val="es-ES_tradnl"/>
        </w:rPr>
      </w:pPr>
    </w:p>
    <w:p w14:paraId="5BFC70EF" w14:textId="77777777" w:rsidR="00F01CAB" w:rsidRPr="00AE7E25" w:rsidRDefault="00F01CAB" w:rsidP="00F01CAB">
      <w:pPr>
        <w:jc w:val="both"/>
        <w:rPr>
          <w:rFonts w:ascii="Arial" w:hAnsi="Arial" w:cs="Arial"/>
          <w:b/>
          <w:sz w:val="22"/>
          <w:szCs w:val="22"/>
          <w:lang w:val="es-ES_tradnl"/>
        </w:rPr>
      </w:pPr>
    </w:p>
    <w:p w14:paraId="7E857A21" w14:textId="77777777" w:rsidR="00F01CAB" w:rsidRPr="00AE7E25" w:rsidRDefault="00F01CAB" w:rsidP="00F01CAB">
      <w:pPr>
        <w:jc w:val="both"/>
        <w:rPr>
          <w:rFonts w:ascii="Arial" w:hAnsi="Arial" w:cs="Arial"/>
          <w:b/>
          <w:sz w:val="22"/>
          <w:szCs w:val="22"/>
          <w:lang w:val="es-ES_tradnl"/>
        </w:rPr>
      </w:pPr>
    </w:p>
    <w:p w14:paraId="1E000C4D" w14:textId="77777777" w:rsidR="00343BD5" w:rsidRPr="00AE7E25" w:rsidRDefault="00343BD5" w:rsidP="00343BD5">
      <w:pPr>
        <w:rPr>
          <w:rFonts w:ascii="Times New Roman" w:eastAsia="Times New Roman" w:hAnsi="Times New Roman" w:cs="Times New Roman"/>
          <w:sz w:val="22"/>
          <w:szCs w:val="22"/>
          <w:lang w:val="es-ES_tradnl" w:eastAsia="es-CO"/>
        </w:rPr>
      </w:pPr>
    </w:p>
    <w:p w14:paraId="02E4A7C4" w14:textId="2AD97792" w:rsidR="00343BD5" w:rsidRPr="00AE7E25" w:rsidRDefault="009549E2" w:rsidP="00343BD5">
      <w:pPr>
        <w:jc w:val="center"/>
        <w:rPr>
          <w:rFonts w:ascii="Times New Roman" w:eastAsia="Times New Roman" w:hAnsi="Times New Roman" w:cs="Times New Roman"/>
          <w:sz w:val="22"/>
          <w:szCs w:val="22"/>
          <w:lang w:val="es-ES_tradnl" w:eastAsia="es-CO"/>
        </w:rPr>
      </w:pPr>
      <w:r>
        <w:rPr>
          <w:rFonts w:eastAsia="Times New Roman"/>
          <w:b/>
          <w:bCs/>
          <w:color w:val="000000"/>
          <w:sz w:val="22"/>
          <w:szCs w:val="22"/>
          <w:lang w:val="es-ES_tradnl" w:eastAsia="es-CO"/>
        </w:rPr>
        <w:t>FABIOLA JACOME RINCÓN</w:t>
      </w:r>
    </w:p>
    <w:p w14:paraId="1904A9C0" w14:textId="2A23FE7B" w:rsidR="00343BD5" w:rsidRDefault="00343BD5" w:rsidP="00343BD5">
      <w:pPr>
        <w:jc w:val="center"/>
        <w:rPr>
          <w:rFonts w:eastAsia="Times New Roman"/>
          <w:color w:val="000000"/>
          <w:sz w:val="22"/>
          <w:szCs w:val="22"/>
          <w:lang w:val="es-ES_tradnl" w:eastAsia="es-CO"/>
        </w:rPr>
      </w:pPr>
      <w:r w:rsidRPr="00AE7E25">
        <w:rPr>
          <w:rFonts w:eastAsia="Times New Roman"/>
          <w:color w:val="000000"/>
          <w:sz w:val="22"/>
          <w:szCs w:val="22"/>
          <w:lang w:val="es-ES_tradnl" w:eastAsia="es-CO"/>
        </w:rPr>
        <w:t>Alcalde</w:t>
      </w:r>
      <w:r w:rsidR="009549E2">
        <w:rPr>
          <w:rFonts w:eastAsia="Times New Roman"/>
          <w:color w:val="000000"/>
          <w:sz w:val="22"/>
          <w:szCs w:val="22"/>
          <w:lang w:val="es-ES_tradnl" w:eastAsia="es-CO"/>
        </w:rPr>
        <w:t>sa</w:t>
      </w:r>
      <w:r w:rsidRPr="00AE7E25">
        <w:rPr>
          <w:rFonts w:eastAsia="Times New Roman"/>
          <w:color w:val="000000"/>
          <w:sz w:val="22"/>
          <w:szCs w:val="22"/>
          <w:lang w:val="es-ES_tradnl" w:eastAsia="es-CO"/>
        </w:rPr>
        <w:t xml:space="preserve"> Municipal de Cajicá</w:t>
      </w:r>
      <w:r w:rsidR="006F6539">
        <w:rPr>
          <w:rFonts w:eastAsia="Times New Roman"/>
          <w:color w:val="000000"/>
          <w:sz w:val="22"/>
          <w:szCs w:val="22"/>
          <w:lang w:val="es-ES_tradnl" w:eastAsia="es-CO"/>
        </w:rPr>
        <w:t>.</w:t>
      </w:r>
    </w:p>
    <w:p w14:paraId="56BB7EDF" w14:textId="77777777" w:rsidR="00F534A4" w:rsidRDefault="00F534A4" w:rsidP="00343BD5">
      <w:pPr>
        <w:jc w:val="center"/>
        <w:rPr>
          <w:rFonts w:eastAsia="Times New Roman"/>
          <w:color w:val="000000"/>
          <w:sz w:val="22"/>
          <w:szCs w:val="22"/>
          <w:lang w:val="es-ES_tradnl" w:eastAsia="es-CO"/>
        </w:rPr>
      </w:pPr>
    </w:p>
    <w:p w14:paraId="604A5F20" w14:textId="77777777" w:rsidR="00F534A4" w:rsidRDefault="00F534A4" w:rsidP="00343BD5">
      <w:pPr>
        <w:jc w:val="center"/>
        <w:rPr>
          <w:rFonts w:eastAsia="Times New Roman"/>
          <w:color w:val="000000"/>
          <w:sz w:val="22"/>
          <w:szCs w:val="22"/>
          <w:lang w:val="es-ES_tradnl" w:eastAsia="es-CO"/>
        </w:rPr>
      </w:pPr>
    </w:p>
    <w:p w14:paraId="62F0F049" w14:textId="77777777" w:rsidR="00343BD5" w:rsidRPr="00AE7E25" w:rsidRDefault="00343BD5" w:rsidP="00343BD5">
      <w:pPr>
        <w:rPr>
          <w:rFonts w:ascii="Times New Roman" w:eastAsia="Times New Roman" w:hAnsi="Times New Roman" w:cs="Times New Roman"/>
          <w:sz w:val="22"/>
          <w:szCs w:val="22"/>
          <w:lang w:val="es-ES_tradnl" w:eastAsia="es-CO"/>
        </w:rPr>
      </w:pPr>
    </w:p>
    <w:tbl>
      <w:tblPr>
        <w:tblW w:w="0" w:type="auto"/>
        <w:tblCellMar>
          <w:top w:w="15" w:type="dxa"/>
          <w:left w:w="15" w:type="dxa"/>
          <w:bottom w:w="15" w:type="dxa"/>
          <w:right w:w="15" w:type="dxa"/>
        </w:tblCellMar>
        <w:tblLook w:val="04A0" w:firstRow="1" w:lastRow="0" w:firstColumn="1" w:lastColumn="0" w:noHBand="0" w:noVBand="1"/>
      </w:tblPr>
      <w:tblGrid>
        <w:gridCol w:w="1232"/>
        <w:gridCol w:w="2999"/>
        <w:gridCol w:w="1117"/>
        <w:gridCol w:w="3485"/>
      </w:tblGrid>
      <w:tr w:rsidR="00343BD5" w:rsidRPr="00FA0152" w14:paraId="3A1F8B6F" w14:textId="77777777" w:rsidTr="00AE7E25">
        <w:trPr>
          <w:trHeight w:val="283"/>
        </w:trPr>
        <w:tc>
          <w:tcPr>
            <w:tcW w:w="0" w:type="auto"/>
            <w:tcBorders>
              <w:bottom w:val="single" w:sz="4" w:space="0" w:color="auto"/>
              <w:right w:val="single" w:sz="4" w:space="0" w:color="000000"/>
            </w:tcBorders>
            <w:tcMar>
              <w:top w:w="0" w:type="dxa"/>
              <w:left w:w="115" w:type="dxa"/>
              <w:bottom w:w="0" w:type="dxa"/>
              <w:right w:w="115" w:type="dxa"/>
            </w:tcMar>
            <w:vAlign w:val="center"/>
            <w:hideMark/>
          </w:tcPr>
          <w:p w14:paraId="503F0094" w14:textId="77777777" w:rsidR="00343BD5" w:rsidRPr="00FA0152" w:rsidRDefault="00343BD5" w:rsidP="00343BD5">
            <w:pPr>
              <w:rPr>
                <w:rFonts w:ascii="Times New Roman" w:eastAsia="Times New Roman" w:hAnsi="Times New Roman" w:cs="Times New Roman"/>
                <w:sz w:val="16"/>
                <w:szCs w:val="16"/>
                <w:lang w:val="es-ES_tradnl" w:eastAsia="es-CO"/>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06025D"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b/>
                <w:bCs/>
                <w:color w:val="000000"/>
                <w:sz w:val="16"/>
                <w:szCs w:val="16"/>
                <w:lang w:val="es-ES_tradnl" w:eastAsia="es-CO"/>
              </w:rPr>
              <w:t>NOMBRE Y APELLIDO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956009"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b/>
                <w:bCs/>
                <w:color w:val="000000"/>
                <w:sz w:val="16"/>
                <w:szCs w:val="16"/>
                <w:lang w:val="es-ES_tradnl" w:eastAsia="es-CO"/>
              </w:rPr>
              <w:t>FIRMA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92003A"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b/>
                <w:bCs/>
                <w:color w:val="000000"/>
                <w:sz w:val="16"/>
                <w:szCs w:val="16"/>
                <w:lang w:val="es-ES_tradnl" w:eastAsia="es-CO"/>
              </w:rPr>
              <w:t>CARGO Y ÁREA</w:t>
            </w:r>
          </w:p>
        </w:tc>
      </w:tr>
      <w:tr w:rsidR="00AE7E25" w:rsidRPr="00FA0152" w14:paraId="3E56609F" w14:textId="77777777" w:rsidTr="00AE7E25">
        <w:trPr>
          <w:trHeight w:val="283"/>
        </w:trPr>
        <w:tc>
          <w:tcPr>
            <w:tcW w:w="0" w:type="auto"/>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14:paraId="3CDF5EF7" w14:textId="2A0E5D65" w:rsidR="00AE7E25" w:rsidRPr="00FA0152" w:rsidRDefault="00AE7E25" w:rsidP="00AE7E25">
            <w:pPr>
              <w:jc w:val="center"/>
              <w:rPr>
                <w:rFonts w:asciiTheme="majorHAnsi" w:eastAsia="Times New Roman" w:hAnsiTheme="majorHAnsi" w:cstheme="majorHAnsi"/>
                <w:b/>
                <w:bCs/>
                <w:sz w:val="16"/>
                <w:szCs w:val="16"/>
                <w:lang w:val="es-ES_tradnl" w:eastAsia="es-CO"/>
              </w:rPr>
            </w:pPr>
            <w:r w:rsidRPr="00FA0152">
              <w:rPr>
                <w:rFonts w:asciiTheme="majorHAnsi" w:eastAsia="Times New Roman" w:hAnsiTheme="majorHAnsi" w:cstheme="majorHAnsi"/>
                <w:b/>
                <w:bCs/>
                <w:sz w:val="16"/>
                <w:szCs w:val="16"/>
                <w:lang w:val="es-ES_tradnl" w:eastAsia="es-CO"/>
              </w:rPr>
              <w:t>Elaboró</w:t>
            </w:r>
          </w:p>
        </w:tc>
        <w:tc>
          <w:tcPr>
            <w:tcW w:w="0" w:type="auto"/>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vAlign w:val="center"/>
          </w:tcPr>
          <w:p w14:paraId="604AED17" w14:textId="13C9EFB0" w:rsidR="00AE7E25" w:rsidRPr="009549E2" w:rsidRDefault="009549E2" w:rsidP="00343BD5">
            <w:pPr>
              <w:jc w:val="center"/>
              <w:rPr>
                <w:rFonts w:asciiTheme="majorHAnsi" w:eastAsia="Times New Roman" w:hAnsiTheme="majorHAnsi" w:cstheme="majorHAnsi"/>
                <w:color w:val="000000"/>
                <w:sz w:val="16"/>
                <w:szCs w:val="16"/>
                <w:lang w:val="es-ES_tradnl" w:eastAsia="es-CO"/>
              </w:rPr>
            </w:pPr>
            <w:r w:rsidRPr="009549E2">
              <w:rPr>
                <w:rFonts w:asciiTheme="majorHAnsi" w:eastAsia="Times New Roman" w:hAnsiTheme="majorHAnsi" w:cstheme="majorHAnsi"/>
                <w:color w:val="000000"/>
                <w:sz w:val="16"/>
                <w:szCs w:val="16"/>
                <w:lang w:val="es-ES_tradnl" w:eastAsia="es-CO"/>
              </w:rPr>
              <w:t>Carolina López Cogua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767082" w14:textId="77777777" w:rsidR="00AE7E25" w:rsidRPr="00FA0152" w:rsidRDefault="00AE7E25" w:rsidP="00343BD5">
            <w:pPr>
              <w:jc w:val="center"/>
              <w:rPr>
                <w:rFonts w:asciiTheme="majorHAnsi" w:eastAsia="Times New Roman" w:hAnsiTheme="majorHAnsi" w:cstheme="majorHAnsi"/>
                <w:b/>
                <w:bCs/>
                <w:color w:val="000000"/>
                <w:sz w:val="16"/>
                <w:szCs w:val="16"/>
                <w:lang w:val="es-ES_tradnl" w:eastAsia="es-CO"/>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C70D4F" w14:textId="125EF7AF" w:rsidR="00AE7E25" w:rsidRPr="009549E2" w:rsidRDefault="009549E2" w:rsidP="00343BD5">
            <w:pPr>
              <w:jc w:val="center"/>
              <w:rPr>
                <w:rFonts w:asciiTheme="majorHAnsi" w:eastAsia="Times New Roman" w:hAnsiTheme="majorHAnsi" w:cstheme="majorHAnsi"/>
                <w:color w:val="000000"/>
                <w:sz w:val="16"/>
                <w:szCs w:val="16"/>
                <w:lang w:val="es-ES_tradnl" w:eastAsia="es-CO"/>
              </w:rPr>
            </w:pPr>
            <w:r w:rsidRPr="009549E2">
              <w:rPr>
                <w:rFonts w:asciiTheme="majorHAnsi" w:eastAsia="Times New Roman" w:hAnsiTheme="majorHAnsi" w:cstheme="majorHAnsi"/>
                <w:color w:val="000000"/>
                <w:sz w:val="16"/>
                <w:szCs w:val="16"/>
                <w:lang w:val="es-ES_tradnl" w:eastAsia="es-CO"/>
              </w:rPr>
              <w:t>Profesional Universitario</w:t>
            </w:r>
          </w:p>
        </w:tc>
      </w:tr>
      <w:tr w:rsidR="00343BD5" w:rsidRPr="00FA0152" w14:paraId="3773C822" w14:textId="77777777" w:rsidTr="00AE7E25">
        <w:trPr>
          <w:trHeight w:val="283"/>
        </w:trPr>
        <w:tc>
          <w:tcPr>
            <w:tcW w:w="0" w:type="auto"/>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D39F97"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b/>
                <w:bCs/>
                <w:color w:val="000000"/>
                <w:sz w:val="16"/>
                <w:szCs w:val="16"/>
                <w:lang w:val="es-ES_tradnl" w:eastAsia="es-CO"/>
              </w:rPr>
              <w:t>Revisó</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9E2EF0"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color w:val="000000"/>
                <w:sz w:val="16"/>
                <w:szCs w:val="16"/>
                <w:lang w:val="es-ES_tradnl" w:eastAsia="es-CO"/>
              </w:rPr>
              <w:t>Hugo Alejandro Palacios Santafé</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7B60D0" w14:textId="77777777" w:rsidR="00343BD5" w:rsidRPr="00FA0152" w:rsidRDefault="00343BD5" w:rsidP="00343BD5">
            <w:pPr>
              <w:rPr>
                <w:rFonts w:ascii="Times New Roman" w:eastAsia="Times New Roman" w:hAnsi="Times New Roman" w:cs="Times New Roman"/>
                <w:sz w:val="16"/>
                <w:szCs w:val="16"/>
                <w:lang w:val="es-ES_tradnl" w:eastAsia="es-CO"/>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3DEB2B"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color w:val="000000"/>
                <w:sz w:val="16"/>
                <w:szCs w:val="16"/>
                <w:lang w:val="es-ES_tradnl" w:eastAsia="es-CO"/>
              </w:rPr>
              <w:t>Asesor jurídico externo del Despacho </w:t>
            </w:r>
          </w:p>
        </w:tc>
      </w:tr>
      <w:tr w:rsidR="00343BD5" w:rsidRPr="00FA0152" w14:paraId="06E045BD" w14:textId="77777777">
        <w:trPr>
          <w:trHeight w:val="536"/>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B6D398"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color w:val="000000"/>
                <w:sz w:val="16"/>
                <w:szCs w:val="16"/>
                <w:lang w:val="es-ES_tradnl" w:eastAsia="es-CO"/>
              </w:rPr>
              <w:t>Los firmantes, manifestamos expresamente que hemos estudiado y revisado el presente documento y por encontrarlo ajustado a las disposiciones constitucionales, legales y reglamentarias vigentes, lo presentamos para su firma bajo nuestra responsabilidad.</w:t>
            </w:r>
          </w:p>
        </w:tc>
      </w:tr>
    </w:tbl>
    <w:p w14:paraId="3F7E815B" w14:textId="19EF08E8" w:rsidR="00F01CAB" w:rsidRPr="00AE7E25" w:rsidRDefault="00F01CAB" w:rsidP="00F01CAB">
      <w:pPr>
        <w:spacing w:after="160" w:line="259" w:lineRule="auto"/>
        <w:rPr>
          <w:rFonts w:ascii="Arial" w:hAnsi="Arial" w:cs="Arial"/>
          <w:sz w:val="22"/>
          <w:szCs w:val="22"/>
          <w:lang w:val="es-ES_tradnl"/>
        </w:rPr>
      </w:pPr>
    </w:p>
    <w:sectPr w:rsidR="00F01CAB" w:rsidRPr="00AE7E25" w:rsidSect="00371840">
      <w:headerReference w:type="even" r:id="rId7"/>
      <w:headerReference w:type="default" r:id="rId8"/>
      <w:footerReference w:type="default" r:id="rId9"/>
      <w:headerReference w:type="first" r:id="rId10"/>
      <w:pgSz w:w="12240" w:h="18720" w:code="128"/>
      <w:pgMar w:top="1417" w:right="1701" w:bottom="1417" w:left="1701" w:header="708"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8A31C" w14:textId="77777777" w:rsidR="009C7FC8" w:rsidRDefault="009C7FC8">
      <w:r>
        <w:separator/>
      </w:r>
    </w:p>
  </w:endnote>
  <w:endnote w:type="continuationSeparator" w:id="0">
    <w:p w14:paraId="6FF43B6D" w14:textId="77777777" w:rsidR="009C7FC8" w:rsidRDefault="009C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0EBC2" w14:textId="77777777" w:rsidR="00026E95" w:rsidRDefault="008957AB">
    <w:pPr>
      <w:pBdr>
        <w:top w:val="nil"/>
        <w:left w:val="nil"/>
        <w:bottom w:val="nil"/>
        <w:right w:val="nil"/>
        <w:between w:val="nil"/>
      </w:pBdr>
      <w:tabs>
        <w:tab w:val="center" w:pos="4419"/>
        <w:tab w:val="right" w:pos="8838"/>
      </w:tabs>
      <w:ind w:left="-1701"/>
      <w:rPr>
        <w:color w:val="000000"/>
      </w:rPr>
    </w:pPr>
    <w:r>
      <w:rPr>
        <w:noProof/>
        <w:color w:val="000000"/>
      </w:rPr>
      <w:drawing>
        <wp:inline distT="0" distB="0" distL="0" distR="0" wp14:anchorId="0AD5FEEC" wp14:editId="4EA14DC5">
          <wp:extent cx="7902300" cy="111045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2409" r="-2409"/>
                  <a:stretch>
                    <a:fillRect/>
                  </a:stretch>
                </pic:blipFill>
                <pic:spPr>
                  <a:xfrm>
                    <a:off x="0" y="0"/>
                    <a:ext cx="7902300" cy="1110453"/>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1D847" w14:textId="77777777" w:rsidR="009C7FC8" w:rsidRDefault="009C7FC8">
      <w:r>
        <w:separator/>
      </w:r>
    </w:p>
  </w:footnote>
  <w:footnote w:type="continuationSeparator" w:id="0">
    <w:p w14:paraId="13B49E6A" w14:textId="77777777" w:rsidR="009C7FC8" w:rsidRDefault="009C7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0A01F" w14:textId="77777777" w:rsidR="00026E95" w:rsidRDefault="009C7FC8">
    <w:pPr>
      <w:pBdr>
        <w:top w:val="nil"/>
        <w:left w:val="nil"/>
        <w:bottom w:val="nil"/>
        <w:right w:val="nil"/>
        <w:between w:val="nil"/>
      </w:pBdr>
      <w:tabs>
        <w:tab w:val="center" w:pos="4419"/>
        <w:tab w:val="right" w:pos="8838"/>
      </w:tabs>
      <w:rPr>
        <w:color w:val="000000"/>
      </w:rPr>
    </w:pPr>
    <w:r>
      <w:rPr>
        <w:color w:val="000000"/>
      </w:rPr>
      <w:pict w14:anchorId="226DC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EA47C" w14:textId="77777777" w:rsidR="00026E95" w:rsidRDefault="00026E95">
    <w:pPr>
      <w:tabs>
        <w:tab w:val="center" w:pos="4419"/>
        <w:tab w:val="right" w:pos="8838"/>
      </w:tabs>
      <w:ind w:left="-284"/>
      <w:rPr>
        <w:color w:val="FF0000"/>
        <w:sz w:val="16"/>
        <w:szCs w:val="16"/>
      </w:rPr>
    </w:pPr>
  </w:p>
  <w:p w14:paraId="1148D329" w14:textId="77777777" w:rsidR="00026E95" w:rsidRDefault="009C7FC8">
    <w:pPr>
      <w:pBdr>
        <w:top w:val="nil"/>
        <w:left w:val="nil"/>
        <w:bottom w:val="nil"/>
        <w:right w:val="nil"/>
        <w:between w:val="nil"/>
      </w:pBdr>
      <w:tabs>
        <w:tab w:val="center" w:pos="4419"/>
        <w:tab w:val="right" w:pos="8838"/>
      </w:tabs>
      <w:ind w:left="-284" w:firstLine="284"/>
      <w:rPr>
        <w:color w:val="000000"/>
      </w:rPr>
    </w:pPr>
    <w:r>
      <w:rPr>
        <w:color w:val="000000"/>
      </w:rPr>
      <w:pict w14:anchorId="17406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0;margin-top:0;width:638.25pt;height:350.5pt;z-index:-251659776;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r w:rsidR="008957AB">
      <w:rPr>
        <w:noProof/>
        <w:color w:val="000000"/>
      </w:rPr>
      <w:drawing>
        <wp:inline distT="0" distB="0" distL="0" distR="0" wp14:anchorId="442512C4" wp14:editId="5D4DC045">
          <wp:extent cx="6745315" cy="72743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6745315" cy="72743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18F9" w14:textId="77777777" w:rsidR="00026E95" w:rsidRDefault="009C7FC8">
    <w:pPr>
      <w:pBdr>
        <w:top w:val="nil"/>
        <w:left w:val="nil"/>
        <w:bottom w:val="nil"/>
        <w:right w:val="nil"/>
        <w:between w:val="nil"/>
      </w:pBdr>
      <w:tabs>
        <w:tab w:val="center" w:pos="4419"/>
        <w:tab w:val="right" w:pos="8838"/>
      </w:tabs>
      <w:rPr>
        <w:color w:val="000000"/>
      </w:rPr>
    </w:pPr>
    <w:r>
      <w:rPr>
        <w:color w:val="000000"/>
      </w:rPr>
      <w:pict w14:anchorId="44F24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67CD5"/>
    <w:multiLevelType w:val="hybridMultilevel"/>
    <w:tmpl w:val="B518DD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F0F3ACB"/>
    <w:multiLevelType w:val="hybridMultilevel"/>
    <w:tmpl w:val="6BA287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06A3902"/>
    <w:multiLevelType w:val="hybridMultilevel"/>
    <w:tmpl w:val="A5867B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CF92580"/>
    <w:multiLevelType w:val="hybridMultilevel"/>
    <w:tmpl w:val="71F0A1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80536550">
    <w:abstractNumId w:val="2"/>
  </w:num>
  <w:num w:numId="2" w16cid:durableId="863710844">
    <w:abstractNumId w:val="0"/>
  </w:num>
  <w:num w:numId="3" w16cid:durableId="1259947597">
    <w:abstractNumId w:val="3"/>
  </w:num>
  <w:num w:numId="4" w16cid:durableId="18508318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E95"/>
    <w:rsid w:val="000170CA"/>
    <w:rsid w:val="00026E95"/>
    <w:rsid w:val="00074C9E"/>
    <w:rsid w:val="00080FBB"/>
    <w:rsid w:val="00082166"/>
    <w:rsid w:val="000C60A8"/>
    <w:rsid w:val="001B060D"/>
    <w:rsid w:val="001C6A8A"/>
    <w:rsid w:val="001E2F54"/>
    <w:rsid w:val="00283514"/>
    <w:rsid w:val="00312975"/>
    <w:rsid w:val="003211BE"/>
    <w:rsid w:val="00330AC4"/>
    <w:rsid w:val="003369F5"/>
    <w:rsid w:val="00343BD5"/>
    <w:rsid w:val="00364CC8"/>
    <w:rsid w:val="00371840"/>
    <w:rsid w:val="00395B6E"/>
    <w:rsid w:val="003B6D96"/>
    <w:rsid w:val="00405E9E"/>
    <w:rsid w:val="004C71C2"/>
    <w:rsid w:val="004D08E9"/>
    <w:rsid w:val="004D6522"/>
    <w:rsid w:val="00536EC9"/>
    <w:rsid w:val="005446C0"/>
    <w:rsid w:val="0059099D"/>
    <w:rsid w:val="005C1B4B"/>
    <w:rsid w:val="0061105B"/>
    <w:rsid w:val="0064698D"/>
    <w:rsid w:val="006A1068"/>
    <w:rsid w:val="006F6539"/>
    <w:rsid w:val="0076460A"/>
    <w:rsid w:val="0077205B"/>
    <w:rsid w:val="007838F2"/>
    <w:rsid w:val="007B3B10"/>
    <w:rsid w:val="008957AB"/>
    <w:rsid w:val="008A38FA"/>
    <w:rsid w:val="008E21AE"/>
    <w:rsid w:val="008F6AFA"/>
    <w:rsid w:val="0092288E"/>
    <w:rsid w:val="009468E3"/>
    <w:rsid w:val="009549E2"/>
    <w:rsid w:val="00984D50"/>
    <w:rsid w:val="009C7FC8"/>
    <w:rsid w:val="009F65BE"/>
    <w:rsid w:val="00A11AC8"/>
    <w:rsid w:val="00A162BF"/>
    <w:rsid w:val="00A52334"/>
    <w:rsid w:val="00AD3BDE"/>
    <w:rsid w:val="00AE7E25"/>
    <w:rsid w:val="00B21249"/>
    <w:rsid w:val="00B61CEA"/>
    <w:rsid w:val="00BB4E15"/>
    <w:rsid w:val="00BB6EDD"/>
    <w:rsid w:val="00BF6161"/>
    <w:rsid w:val="00C4462A"/>
    <w:rsid w:val="00C744ED"/>
    <w:rsid w:val="00C815E4"/>
    <w:rsid w:val="00C956DD"/>
    <w:rsid w:val="00D422E4"/>
    <w:rsid w:val="00D7104F"/>
    <w:rsid w:val="00DF46A4"/>
    <w:rsid w:val="00E9534B"/>
    <w:rsid w:val="00EA4575"/>
    <w:rsid w:val="00EF4A29"/>
    <w:rsid w:val="00F01CAB"/>
    <w:rsid w:val="00F44922"/>
    <w:rsid w:val="00F51D2D"/>
    <w:rsid w:val="00F534A4"/>
    <w:rsid w:val="00F632EE"/>
    <w:rsid w:val="00F72FFB"/>
    <w:rsid w:val="00F757F0"/>
    <w:rsid w:val="00FA0152"/>
    <w:rsid w:val="00FF65F8"/>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8A61B"/>
  <w15:docId w15:val="{0D264DD8-AD43-46C1-9B56-0AE424594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419"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paragraph" w:styleId="Encabezado">
    <w:name w:val="header"/>
    <w:basedOn w:val="Normal"/>
    <w:link w:val="EncabezadoCar"/>
    <w:uiPriority w:val="99"/>
    <w:unhideWhenUsed/>
    <w:rsid w:val="003369F5"/>
    <w:pPr>
      <w:tabs>
        <w:tab w:val="center" w:pos="4419"/>
        <w:tab w:val="right" w:pos="8838"/>
      </w:tabs>
    </w:pPr>
    <w:rPr>
      <w:rFonts w:asciiTheme="minorHAnsi" w:eastAsiaTheme="minorEastAsia" w:hAnsiTheme="minorHAnsi" w:cstheme="minorBidi"/>
      <w:kern w:val="2"/>
      <w:lang w:eastAsia="en-US"/>
      <w14:ligatures w14:val="standardContextual"/>
    </w:rPr>
  </w:style>
  <w:style w:type="character" w:customStyle="1" w:styleId="EncabezadoCar">
    <w:name w:val="Encabezado Car"/>
    <w:basedOn w:val="Fuentedeprrafopredeter"/>
    <w:link w:val="Encabezado"/>
    <w:uiPriority w:val="99"/>
    <w:rsid w:val="003369F5"/>
    <w:rPr>
      <w:rFonts w:asciiTheme="minorHAnsi" w:eastAsiaTheme="minorEastAsia" w:hAnsiTheme="minorHAnsi" w:cstheme="minorBidi"/>
      <w:kern w:val="2"/>
      <w:lang w:eastAsia="en-US"/>
      <w14:ligatures w14:val="standardContextual"/>
    </w:rPr>
  </w:style>
  <w:style w:type="table" w:styleId="Tablaconcuadrcula">
    <w:name w:val="Table Grid"/>
    <w:basedOn w:val="Tablanormal"/>
    <w:uiPriority w:val="39"/>
    <w:rsid w:val="00F01CAB"/>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F01CAB"/>
    <w:rPr>
      <w:rFonts w:asciiTheme="minorHAnsi" w:eastAsiaTheme="minorEastAsia" w:hAnsiTheme="minorHAnsi" w:cstheme="minorBidi"/>
      <w:lang w:val="es-ES_tradnl" w:eastAsia="es-ES"/>
    </w:rPr>
  </w:style>
  <w:style w:type="character" w:styleId="Hipervnculo">
    <w:name w:val="Hyperlink"/>
    <w:basedOn w:val="Fuentedeprrafopredeter"/>
    <w:uiPriority w:val="99"/>
    <w:unhideWhenUsed/>
    <w:rsid w:val="00F01CAB"/>
    <w:rPr>
      <w:color w:val="0000FF" w:themeColor="hyperlink"/>
      <w:u w:val="single"/>
    </w:rPr>
  </w:style>
  <w:style w:type="paragraph" w:customStyle="1" w:styleId="p1">
    <w:name w:val="p1"/>
    <w:basedOn w:val="Normal"/>
    <w:rsid w:val="00283514"/>
    <w:rPr>
      <w:rFonts w:ascii="Helvetica" w:eastAsia="Times New Roman" w:hAnsi="Helvetica" w:cs="Times New Roman"/>
      <w:color w:val="000000"/>
      <w:sz w:val="14"/>
      <w:szCs w:val="14"/>
      <w:lang w:eastAsia="es-MX"/>
    </w:rPr>
  </w:style>
  <w:style w:type="paragraph" w:customStyle="1" w:styleId="Normal1">
    <w:name w:val="Normal1"/>
    <w:rsid w:val="00E9534B"/>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599</Words>
  <Characters>3630</Characters>
  <Application>Microsoft Office Word</Application>
  <DocSecurity>0</DocSecurity>
  <Lines>201</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Jorge Leguizamon</dc:creator>
  <cp:lastModifiedBy>Hugo Palacios</cp:lastModifiedBy>
  <cp:revision>3</cp:revision>
  <cp:lastPrinted>2024-12-05T14:29:00Z</cp:lastPrinted>
  <dcterms:created xsi:type="dcterms:W3CDTF">2026-06-25T16:48:00Z</dcterms:created>
  <dcterms:modified xsi:type="dcterms:W3CDTF">2026-06-25T16:50:00Z</dcterms:modified>
</cp:coreProperties>
</file>